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6285" w14:textId="1810D297" w:rsidR="000E2999" w:rsidRPr="000E2999" w:rsidRDefault="000E2999" w:rsidP="000E2999">
      <w:pPr>
        <w:jc w:val="center"/>
        <w:rPr>
          <w:rFonts w:ascii="方正小标宋简体" w:eastAsia="方正小标宋简体" w:hint="eastAsia"/>
          <w:sz w:val="44"/>
          <w:szCs w:val="44"/>
        </w:rPr>
      </w:pPr>
      <w:r w:rsidRPr="000E2999">
        <w:rPr>
          <w:rFonts w:ascii="方正小标宋简体" w:eastAsia="方正小标宋简体" w:hint="eastAsia"/>
          <w:sz w:val="44"/>
          <w:szCs w:val="44"/>
        </w:rPr>
        <w:t>正顺庙山门油饰修缮</w:t>
      </w:r>
      <w:r>
        <w:rPr>
          <w:rFonts w:ascii="方正小标宋简体" w:eastAsia="方正小标宋简体" w:hint="eastAsia"/>
          <w:sz w:val="44"/>
          <w:szCs w:val="44"/>
        </w:rPr>
        <w:t>方案</w:t>
      </w:r>
    </w:p>
    <w:p w14:paraId="0C0A4B15" w14:textId="77777777" w:rsidR="000E2999" w:rsidRPr="000E2999" w:rsidRDefault="000E2999" w:rsidP="000E2999">
      <w:pPr>
        <w:ind w:firstLineChars="200" w:firstLine="640"/>
        <w:jc w:val="both"/>
        <w:rPr>
          <w:rFonts w:ascii="仿宋_GB2312" w:eastAsia="仿宋_GB2312" w:hint="eastAsia"/>
          <w:sz w:val="32"/>
          <w:szCs w:val="32"/>
        </w:rPr>
      </w:pPr>
      <w:r w:rsidRPr="000E2999">
        <w:rPr>
          <w:rFonts w:ascii="仿宋_GB2312" w:eastAsia="仿宋_GB2312" w:hint="eastAsia"/>
          <w:sz w:val="32"/>
          <w:szCs w:val="32"/>
        </w:rPr>
        <w:t>2022年7月22日，全国文物工作会议的召开，要坚持以习近平新时代中国特色社会主义思想为指导深刻领悟“两个确立”的决定性意义，增强“四个意识”、坚定“四个自信”、做到“两个维护”，坚持保护第一、加强管理、挖掘价值、有效利用、让文物活起来，全面提升文物保护利用和文化遗产保护传承水平。</w:t>
      </w:r>
    </w:p>
    <w:p w14:paraId="01EF120A" w14:textId="4BE83397" w:rsidR="000E2999" w:rsidRPr="000E2999" w:rsidRDefault="000E2999" w:rsidP="000E2999">
      <w:pPr>
        <w:ind w:firstLineChars="200" w:firstLine="640"/>
        <w:jc w:val="both"/>
        <w:rPr>
          <w:rFonts w:ascii="仿宋_GB2312" w:eastAsia="仿宋_GB2312" w:hint="eastAsia"/>
          <w:sz w:val="32"/>
          <w:szCs w:val="32"/>
        </w:rPr>
      </w:pPr>
      <w:r w:rsidRPr="000E2999">
        <w:rPr>
          <w:rFonts w:ascii="仿宋_GB2312" w:eastAsia="仿宋_GB2312" w:hint="eastAsia"/>
          <w:sz w:val="32"/>
          <w:szCs w:val="32"/>
        </w:rPr>
        <w:t>本维修方案根据《中华人民共和国文物保护法》《中国文物古迹保护准则》《文物保护工程管理办法》等有关规定，严格遵守不改变文物原状的原则，贯彻落实“保护第一、加强管理、挖掘价值、有效利用、让文物活起来”22 字保护方针，全面地保存、延续文物的真实历史信息和价值;按照国际、国内公认的准则，保护文物本体及与之相关的历史、人文和自然环境，真实、全面地保存并延续其历史信息及全部价值。</w:t>
      </w:r>
    </w:p>
    <w:p w14:paraId="4B93BFF5" w14:textId="4EB48396"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1、</w:t>
      </w:r>
      <w:r w:rsidRPr="000E2999">
        <w:rPr>
          <w:rFonts w:ascii="仿宋_GB2312" w:eastAsia="仿宋_GB2312" w:hint="eastAsia"/>
          <w:sz w:val="32"/>
          <w:szCs w:val="32"/>
        </w:rPr>
        <w:t>遵循《中华人民共和国文物保护法》中</w:t>
      </w:r>
      <w:r>
        <w:rPr>
          <w:rFonts w:ascii="仿宋_GB2312" w:eastAsia="仿宋_GB2312" w:hint="eastAsia"/>
          <w:sz w:val="32"/>
          <w:szCs w:val="32"/>
        </w:rPr>
        <w:t>：</w:t>
      </w:r>
      <w:r w:rsidRPr="000E2999">
        <w:rPr>
          <w:rFonts w:ascii="仿宋_GB2312" w:eastAsia="仿宋_GB2312" w:hint="eastAsia"/>
          <w:sz w:val="32"/>
          <w:szCs w:val="32"/>
        </w:rPr>
        <w:t>“对不可移动文物进行修缮、保养、迁移，必须遵守不改变文物原状的原则”和《中国文物古迹保护准则》的相关规定，掌握充分实物依据，仔细鉴别文物建筑原状，确定必须保存现状和可以恢复原状的对象，以区别处理:必须严肃对待现状中保留的历史信息，保留和体现文物建筑的形制、结构、材料和工艺技术的地域特征、时代风格和独特个性。</w:t>
      </w:r>
    </w:p>
    <w:p w14:paraId="7E37E7EE" w14:textId="1DC631D7"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lastRenderedPageBreak/>
        <w:t>2、</w:t>
      </w:r>
      <w:r w:rsidRPr="000E2999">
        <w:rPr>
          <w:rFonts w:ascii="仿宋_GB2312" w:eastAsia="仿宋_GB2312" w:hint="eastAsia"/>
          <w:sz w:val="32"/>
          <w:szCs w:val="32"/>
        </w:rPr>
        <w:t>遵循《中国文物古迹保护准则》第19条“尽可能减少干预。凡是近期没有重大危险的部分，除日常保养以外不应进行更多的干预。必须干预时，附加的手段只用在最必要部分，并减小到最低限度。采用的保护措施，应以延续现状，缓解损伤为主要目标”的规定，对于建筑必须保存现状的对象，主要使用日常保养和环境治理的手段，局部可使用防护加固和原状整修手段，但应尽可能减少干预，所采用的保护措施应以延续现状、缓解损伤和维持结构稳定为主要目标，不能对其造成新的损伤；对于可以恢复原状的对象现存残损采取重点修复手段，部分已失去的原状可以实施适当修复;新添加的功能设施应尽可能隐蔽，并保证将来可以安全地拆卸清除，不妨碍今后采取更有效的保护措施。</w:t>
      </w:r>
    </w:p>
    <w:p w14:paraId="41C982B5" w14:textId="6A4E5B9C"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3、</w:t>
      </w:r>
      <w:r w:rsidRPr="000E2999">
        <w:rPr>
          <w:rFonts w:ascii="仿宋_GB2312" w:eastAsia="仿宋_GB2312" w:hint="eastAsia"/>
          <w:sz w:val="32"/>
          <w:szCs w:val="32"/>
        </w:rPr>
        <w:t>遵循《中国文物古迹保护准则》第23条“正确把握审美标准。文物古迹的审美价值主要表现为它的历史真实性，不允许为了追求完整、华丽而改变文物原状”的规定，对建筑实施保护措施前，应对其现状进行客观分析判断，确定历史原貌和后期变化，以还原历史真实性为原则，尽可能合理保存各个历史时期有价值的遗存和痕迹，要最大限度保存原构件和工艺，不必追求风格、式样一致，特别是不允许以追求完整、统一、华丽对原貌做美化性改变。</w:t>
      </w:r>
    </w:p>
    <w:p w14:paraId="6AA82D4C" w14:textId="44CD3F26"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4、</w:t>
      </w:r>
      <w:r w:rsidRPr="000E2999">
        <w:rPr>
          <w:rFonts w:ascii="仿宋_GB2312" w:eastAsia="仿宋_GB2312" w:hint="eastAsia"/>
          <w:sz w:val="32"/>
          <w:szCs w:val="32"/>
        </w:rPr>
        <w:t>遵循《古建筑木结构维护与加固技术规范》(GB/T50165-202)的规定，在修缮古建筑时应保存“原来的建</w:t>
      </w:r>
      <w:r w:rsidRPr="000E2999">
        <w:rPr>
          <w:rFonts w:ascii="仿宋_GB2312" w:eastAsia="仿宋_GB2312" w:hint="eastAsia"/>
          <w:sz w:val="32"/>
          <w:szCs w:val="32"/>
        </w:rPr>
        <w:lastRenderedPageBreak/>
        <w:t>筑形制(包括原来建筑的平面布局、造型、法式特征和艺术风格等):原来的建筑结构:原来的建筑材料;原来的工艺技术”，同时采取技术措施，修缮自然力和人为造成的损伤，制止新的破坏。</w:t>
      </w:r>
    </w:p>
    <w:p w14:paraId="50DEAAC1" w14:textId="3A891967" w:rsidR="000E2999" w:rsidRPr="000E2999" w:rsidRDefault="000E2999" w:rsidP="000E2999">
      <w:pPr>
        <w:jc w:val="both"/>
        <w:rPr>
          <w:rFonts w:ascii="仿宋_GB2312" w:eastAsia="仿宋_GB2312" w:hint="eastAsia"/>
          <w:b/>
          <w:bCs/>
          <w:sz w:val="32"/>
          <w:szCs w:val="32"/>
        </w:rPr>
      </w:pPr>
      <w:r w:rsidRPr="000E2999">
        <w:rPr>
          <w:rFonts w:ascii="仿宋_GB2312" w:eastAsia="仿宋_GB2312" w:hint="eastAsia"/>
          <w:b/>
          <w:bCs/>
          <w:sz w:val="32"/>
          <w:szCs w:val="32"/>
        </w:rPr>
        <w:t>一、山门修缮原则</w:t>
      </w:r>
    </w:p>
    <w:p w14:paraId="09498868" w14:textId="392B0791"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1、</w:t>
      </w:r>
      <w:r w:rsidRPr="000E2999">
        <w:rPr>
          <w:rFonts w:ascii="仿宋_GB2312" w:eastAsia="仿宋_GB2312" w:hint="eastAsia"/>
          <w:sz w:val="32"/>
          <w:szCs w:val="32"/>
        </w:rPr>
        <w:t>本修缮必须严格依据《古建筑木结构维护与加固技术规范》(GB/T50165-2020)，对古建筑进行修缮时应保存以下内容:</w:t>
      </w:r>
    </w:p>
    <w:p w14:paraId="6502AC89" w14:textId="77777777" w:rsidR="000E2999" w:rsidRPr="000E2999" w:rsidRDefault="000E2999" w:rsidP="000E2999">
      <w:pPr>
        <w:jc w:val="both"/>
        <w:rPr>
          <w:rFonts w:ascii="仿宋_GB2312" w:eastAsia="仿宋_GB2312" w:hint="eastAsia"/>
          <w:sz w:val="32"/>
          <w:szCs w:val="32"/>
        </w:rPr>
      </w:pPr>
      <w:r w:rsidRPr="000E2999">
        <w:rPr>
          <w:rFonts w:ascii="仿宋_GB2312" w:eastAsia="仿宋_GB2312" w:hint="eastAsia"/>
          <w:sz w:val="32"/>
          <w:szCs w:val="32"/>
        </w:rPr>
        <w:t>a.保持原来的形制，包括原来建筑的平面布局、造型、法式特征和艺术风格等;</w:t>
      </w:r>
    </w:p>
    <w:p w14:paraId="32A1EACC" w14:textId="77777777" w:rsidR="000E2999" w:rsidRPr="000E2999" w:rsidRDefault="000E2999" w:rsidP="000E2999">
      <w:pPr>
        <w:jc w:val="both"/>
        <w:rPr>
          <w:rFonts w:ascii="仿宋_GB2312" w:eastAsia="仿宋_GB2312" w:hint="eastAsia"/>
          <w:sz w:val="32"/>
          <w:szCs w:val="32"/>
        </w:rPr>
      </w:pPr>
      <w:r w:rsidRPr="000E2999">
        <w:rPr>
          <w:rFonts w:ascii="仿宋_GB2312" w:eastAsia="仿宋_GB2312" w:hint="eastAsia"/>
          <w:sz w:val="32"/>
          <w:szCs w:val="32"/>
        </w:rPr>
        <w:t>b.保持原来的建筑结构;</w:t>
      </w:r>
    </w:p>
    <w:p w14:paraId="08B96496" w14:textId="77777777" w:rsidR="000E2999" w:rsidRPr="000E2999" w:rsidRDefault="000E2999" w:rsidP="000E2999">
      <w:pPr>
        <w:jc w:val="both"/>
        <w:rPr>
          <w:rFonts w:ascii="仿宋_GB2312" w:eastAsia="仿宋_GB2312" w:hint="eastAsia"/>
          <w:sz w:val="32"/>
          <w:szCs w:val="32"/>
        </w:rPr>
      </w:pPr>
      <w:r w:rsidRPr="000E2999">
        <w:rPr>
          <w:rFonts w:ascii="仿宋_GB2312" w:eastAsia="仿宋_GB2312" w:hint="eastAsia"/>
          <w:sz w:val="32"/>
          <w:szCs w:val="32"/>
        </w:rPr>
        <w:t>c.保持原来的建筑材料;</w:t>
      </w:r>
    </w:p>
    <w:p w14:paraId="4B54851D" w14:textId="77777777" w:rsidR="000E2999" w:rsidRPr="000E2999" w:rsidRDefault="000E2999" w:rsidP="000E2999">
      <w:pPr>
        <w:jc w:val="both"/>
        <w:rPr>
          <w:rFonts w:ascii="仿宋_GB2312" w:eastAsia="仿宋_GB2312" w:hint="eastAsia"/>
          <w:sz w:val="32"/>
          <w:szCs w:val="32"/>
        </w:rPr>
      </w:pPr>
      <w:r w:rsidRPr="000E2999">
        <w:rPr>
          <w:rFonts w:ascii="仿宋_GB2312" w:eastAsia="仿宋_GB2312" w:hint="eastAsia"/>
          <w:sz w:val="32"/>
          <w:szCs w:val="32"/>
        </w:rPr>
        <w:t>d.保持原来的工艺技术。</w:t>
      </w:r>
    </w:p>
    <w:p w14:paraId="04839356" w14:textId="59DA8EB8"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2、</w:t>
      </w:r>
      <w:r w:rsidRPr="000E2999">
        <w:rPr>
          <w:rFonts w:ascii="仿宋_GB2312" w:eastAsia="仿宋_GB2312" w:hint="eastAsia"/>
          <w:sz w:val="32"/>
          <w:szCs w:val="32"/>
        </w:rPr>
        <w:t>严格遵守不改变文物原状的原则，尽可能真实完整地保存建筑的历史原貌和建筑特色。</w:t>
      </w:r>
    </w:p>
    <w:p w14:paraId="46B81000" w14:textId="62B25439"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3、</w:t>
      </w:r>
      <w:r w:rsidRPr="000E2999">
        <w:rPr>
          <w:rFonts w:ascii="仿宋_GB2312" w:eastAsia="仿宋_GB2312" w:hint="eastAsia"/>
          <w:sz w:val="32"/>
          <w:szCs w:val="32"/>
        </w:rPr>
        <w:t>尽可能采用修缮对象所具有的传统材料和工艺做法。</w:t>
      </w:r>
    </w:p>
    <w:p w14:paraId="1E4AADF6" w14:textId="70B52E85"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4、</w:t>
      </w:r>
      <w:r w:rsidRPr="000E2999">
        <w:rPr>
          <w:rFonts w:ascii="仿宋_GB2312" w:eastAsia="仿宋_GB2312" w:hint="eastAsia"/>
          <w:sz w:val="32"/>
          <w:szCs w:val="32"/>
        </w:rPr>
        <w:t>纠正后期改变原状的部分和工程上的错误做法，恢复建筑原貌。</w:t>
      </w:r>
    </w:p>
    <w:p w14:paraId="320087AA" w14:textId="4EADA51B"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5、</w:t>
      </w:r>
      <w:r w:rsidRPr="000E2999">
        <w:rPr>
          <w:rFonts w:ascii="仿宋_GB2312" w:eastAsia="仿宋_GB2312" w:hint="eastAsia"/>
          <w:sz w:val="32"/>
          <w:szCs w:val="32"/>
        </w:rPr>
        <w:t>木构件防虫、防腐处理应由专业部门制定方案和配置</w:t>
      </w:r>
      <w:r w:rsidRPr="000E2999">
        <w:rPr>
          <w:rFonts w:ascii="仿宋_GB2312" w:eastAsia="仿宋_GB2312" w:hint="eastAsia"/>
          <w:sz w:val="32"/>
          <w:szCs w:val="32"/>
        </w:rPr>
        <w:lastRenderedPageBreak/>
        <w:t>药剂并统一进行。</w:t>
      </w:r>
    </w:p>
    <w:p w14:paraId="596161AB" w14:textId="56C9C1DF" w:rsidR="000E2999" w:rsidRPr="000E2999" w:rsidRDefault="000E2999" w:rsidP="000E2999">
      <w:pPr>
        <w:jc w:val="both"/>
        <w:rPr>
          <w:rFonts w:ascii="仿宋_GB2312" w:eastAsia="仿宋_GB2312" w:hint="eastAsia"/>
          <w:b/>
          <w:bCs/>
          <w:sz w:val="32"/>
          <w:szCs w:val="32"/>
        </w:rPr>
      </w:pPr>
      <w:r w:rsidRPr="000E2999">
        <w:rPr>
          <w:rFonts w:ascii="仿宋_GB2312" w:eastAsia="仿宋_GB2312" w:hint="eastAsia"/>
          <w:b/>
          <w:bCs/>
          <w:sz w:val="32"/>
          <w:szCs w:val="32"/>
        </w:rPr>
        <w:t>三、油漆做法</w:t>
      </w:r>
    </w:p>
    <w:p w14:paraId="07ECBFF5" w14:textId="5A92F8B6" w:rsidR="000E2999" w:rsidRPr="000E2999" w:rsidRDefault="000E2999" w:rsidP="000E2999">
      <w:pPr>
        <w:ind w:firstLineChars="200" w:firstLine="640"/>
        <w:jc w:val="both"/>
        <w:rPr>
          <w:rFonts w:ascii="仿宋_GB2312" w:eastAsia="仿宋_GB2312" w:hint="eastAsia"/>
          <w:sz w:val="32"/>
          <w:szCs w:val="32"/>
        </w:rPr>
      </w:pPr>
      <w:r w:rsidRPr="000E2999">
        <w:rPr>
          <w:rFonts w:ascii="仿宋_GB2312" w:eastAsia="仿宋_GB2312" w:hint="eastAsia"/>
          <w:sz w:val="32"/>
          <w:szCs w:val="32"/>
        </w:rPr>
        <w:t>由于山门各构件油饰脱落较为严重，不但影响整体风貌且达不到保护木构件的作用，结合现场勘察现状，本次木构件油饰面残损主要集中在木柱部分及新制补配和修缮的木构件，大部分为暗朱红色。</w:t>
      </w:r>
    </w:p>
    <w:p w14:paraId="208CBD86" w14:textId="77777777" w:rsidR="000E2999" w:rsidRPr="000E2999" w:rsidRDefault="000E2999" w:rsidP="000E2999">
      <w:pPr>
        <w:ind w:firstLineChars="200" w:firstLine="640"/>
        <w:jc w:val="both"/>
        <w:rPr>
          <w:rFonts w:ascii="仿宋_GB2312" w:eastAsia="仿宋_GB2312" w:hint="eastAsia"/>
          <w:sz w:val="32"/>
          <w:szCs w:val="32"/>
        </w:rPr>
      </w:pPr>
      <w:r w:rsidRPr="000E2999">
        <w:rPr>
          <w:rFonts w:ascii="仿宋_GB2312" w:eastAsia="仿宋_GB2312" w:hint="eastAsia"/>
          <w:sz w:val="32"/>
          <w:szCs w:val="32"/>
        </w:rPr>
        <w:t>山门的油漆工艺分为两种，在木柱上采用的是“一麻五灰”地仗工艺，使用当地草泥灰进行调和，面层用“桐油调色”。而梁架及小木作构件的地仗层为不上麻的“单披灰”，其面层用“桐油调色”“一麻五灰”地仗工艺:</w:t>
      </w:r>
    </w:p>
    <w:p w14:paraId="524F74E7" w14:textId="31347AA1"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1、</w:t>
      </w:r>
      <w:r w:rsidRPr="000E2999">
        <w:rPr>
          <w:rFonts w:ascii="仿宋_GB2312" w:eastAsia="仿宋_GB2312" w:hint="eastAsia"/>
          <w:sz w:val="32"/>
          <w:szCs w:val="32"/>
        </w:rPr>
        <w:t>打地仗之前先对木构件作表面处理，即砍毛，使地仗和构件结合坚牢，有“砍见木”、“撕缝”“下竹钉”、“汁浆”四道工序。</w:t>
      </w:r>
    </w:p>
    <w:p w14:paraId="4D4496BC" w14:textId="476059A2"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2、</w:t>
      </w:r>
      <w:r w:rsidRPr="000E2999">
        <w:rPr>
          <w:rFonts w:ascii="仿宋_GB2312" w:eastAsia="仿宋_GB2312" w:hint="eastAsia"/>
          <w:sz w:val="32"/>
          <w:szCs w:val="32"/>
        </w:rPr>
        <w:t>捉缝灰，木构件上有明显裂纹，要先施“捉缝灰”。待汁油浆干后，将木构件表面打扫干净，用粗油灰捉缝，缝内油灰必须饱满防止蒙头灰，就是表面有灰而缝内无灰。无缝处仅留极薄一层油灰，俗称“靠骨灰”。干透后用石片或瓦片磨平，边楞用铲刀修整，扫除浮土。</w:t>
      </w:r>
    </w:p>
    <w:p w14:paraId="5B579BD0" w14:textId="4E105ADD"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3、</w:t>
      </w:r>
      <w:r w:rsidRPr="000E2999">
        <w:rPr>
          <w:rFonts w:ascii="仿宋_GB2312" w:eastAsia="仿宋_GB2312" w:hint="eastAsia"/>
          <w:sz w:val="32"/>
          <w:szCs w:val="32"/>
        </w:rPr>
        <w:t>粗灰，粗灰又称通灰，此道灰作在捉缝灰之上，用皮子或板子将表面满刮粗灰一边，作为贴麻的基础，要将木构</w:t>
      </w:r>
      <w:r w:rsidRPr="000E2999">
        <w:rPr>
          <w:rFonts w:ascii="仿宋_GB2312" w:eastAsia="仿宋_GB2312" w:hint="eastAsia"/>
          <w:sz w:val="32"/>
          <w:szCs w:val="32"/>
        </w:rPr>
        <w:lastRenderedPageBreak/>
        <w:t>件修复平整，柱子要修复圆直，干后磨平擦净。通灰层厚 0.2-0.3毫米:</w:t>
      </w:r>
    </w:p>
    <w:p w14:paraId="4B015B85" w14:textId="755C4006"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4、</w:t>
      </w:r>
      <w:r w:rsidRPr="000E2999">
        <w:rPr>
          <w:rFonts w:ascii="仿宋_GB2312" w:eastAsia="仿宋_GB2312" w:hint="eastAsia"/>
          <w:sz w:val="32"/>
          <w:szCs w:val="32"/>
        </w:rPr>
        <w:t>使麻，在地仗层上面粘上一层麻，能够增加拉力，反之灰层开裂，加固整体灰层。使麻的步骤分为开头浆、粘麻、砸干轧、潲生、水翻轧、修正活6道工序。</w:t>
      </w:r>
    </w:p>
    <w:p w14:paraId="0E20D8CF" w14:textId="1DAFF4BD"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5、</w:t>
      </w:r>
      <w:r w:rsidRPr="000E2999">
        <w:rPr>
          <w:rFonts w:ascii="仿宋_GB2312" w:eastAsia="仿宋_GB2312" w:hint="eastAsia"/>
          <w:sz w:val="32"/>
          <w:szCs w:val="32"/>
        </w:rPr>
        <w:t>磨麻:待麻干后用砂石磨麻，磨到麻丝起绒，有被磨起的麻丝要将其挂掉，然后将浮戎打扫干净，为下一道工序做准备。</w:t>
      </w:r>
    </w:p>
    <w:p w14:paraId="1D2A285C" w14:textId="2AC46DA0"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6、</w:t>
      </w:r>
      <w:r w:rsidRPr="000E2999">
        <w:rPr>
          <w:rFonts w:ascii="仿宋_GB2312" w:eastAsia="仿宋_GB2312" w:hint="eastAsia"/>
          <w:sz w:val="32"/>
          <w:szCs w:val="32"/>
        </w:rPr>
        <w:t>压麻灰，用油满加中灰调成，将其涂抹于麻上，反复磨压使得油灰与麻紧密结合，之后再覆一层油灰，并修整边角，等自然干燥后磨平刮净。</w:t>
      </w:r>
    </w:p>
    <w:p w14:paraId="755B1CDF" w14:textId="304AB26B"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7、</w:t>
      </w:r>
      <w:r w:rsidRPr="000E2999">
        <w:rPr>
          <w:rFonts w:ascii="仿宋_GB2312" w:eastAsia="仿宋_GB2312" w:hint="eastAsia"/>
          <w:sz w:val="32"/>
          <w:szCs w:val="32"/>
        </w:rPr>
        <w:t>中灰，等压麻灰干透之后，用油满和中灰调合成的油灰再在亚麻灰上覆盖一层,等干透后磨平刮净。</w:t>
      </w:r>
    </w:p>
    <w:p w14:paraId="436F93D8" w14:textId="56C397D8"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8、</w:t>
      </w:r>
      <w:r w:rsidRPr="000E2999">
        <w:rPr>
          <w:rFonts w:ascii="仿宋_GB2312" w:eastAsia="仿宋_GB2312" w:hint="eastAsia"/>
          <w:sz w:val="32"/>
          <w:szCs w:val="32"/>
        </w:rPr>
        <w:t>细磨钻生，待细灰干后，用细砂石精心研磨，使之光滑平整。同时用生桐油反复钻透灰层，随磨随涂，以防风裂。</w:t>
      </w:r>
    </w:p>
    <w:p w14:paraId="2A8790A0" w14:textId="6163BE0A" w:rsidR="000E2999" w:rsidRPr="000E2999" w:rsidRDefault="000E2999" w:rsidP="000E2999">
      <w:pPr>
        <w:ind w:firstLineChars="200" w:firstLine="640"/>
        <w:jc w:val="both"/>
        <w:rPr>
          <w:rFonts w:ascii="仿宋_GB2312" w:eastAsia="仿宋_GB2312" w:hint="eastAsia"/>
          <w:sz w:val="32"/>
          <w:szCs w:val="32"/>
        </w:rPr>
      </w:pPr>
      <w:r>
        <w:rPr>
          <w:rFonts w:ascii="仿宋_GB2312" w:eastAsia="仿宋_GB2312" w:hint="eastAsia"/>
          <w:sz w:val="32"/>
          <w:szCs w:val="32"/>
        </w:rPr>
        <w:t>9、</w:t>
      </w:r>
      <w:r w:rsidRPr="000E2999">
        <w:rPr>
          <w:rFonts w:ascii="仿宋_GB2312" w:eastAsia="仿宋_GB2312" w:hint="eastAsia"/>
          <w:sz w:val="32"/>
          <w:szCs w:val="32"/>
        </w:rPr>
        <w:t>桐油调色方法:</w:t>
      </w:r>
    </w:p>
    <w:p w14:paraId="2DC404B8" w14:textId="77777777" w:rsidR="000E2999" w:rsidRPr="000E2999" w:rsidRDefault="000E2999" w:rsidP="000E2999">
      <w:pPr>
        <w:jc w:val="both"/>
        <w:rPr>
          <w:rFonts w:ascii="仿宋_GB2312" w:eastAsia="仿宋_GB2312" w:hint="eastAsia"/>
          <w:sz w:val="32"/>
          <w:szCs w:val="32"/>
        </w:rPr>
      </w:pPr>
      <w:r w:rsidRPr="000E2999">
        <w:rPr>
          <w:rFonts w:ascii="仿宋_GB2312" w:eastAsia="仿宋_GB2312" w:hint="eastAsia"/>
          <w:sz w:val="32"/>
          <w:szCs w:val="32"/>
        </w:rPr>
        <w:t>(1)准备工作:确保你有足够的桐油和所需的油溶性着色剂。</w:t>
      </w:r>
    </w:p>
    <w:p w14:paraId="53F5E255" w14:textId="77777777" w:rsidR="000E2999" w:rsidRPr="000E2999" w:rsidRDefault="000E2999" w:rsidP="000E2999">
      <w:pPr>
        <w:jc w:val="both"/>
        <w:rPr>
          <w:rFonts w:ascii="仿宋_GB2312" w:eastAsia="仿宋_GB2312" w:hint="eastAsia"/>
          <w:sz w:val="32"/>
          <w:szCs w:val="32"/>
        </w:rPr>
      </w:pPr>
      <w:r w:rsidRPr="000E2999">
        <w:rPr>
          <w:rFonts w:ascii="仿宋_GB2312" w:eastAsia="仿宋_GB2312" w:hint="eastAsia"/>
          <w:sz w:val="32"/>
          <w:szCs w:val="32"/>
        </w:rPr>
        <w:t>(2)加入着色剂:在桐油中逐渐加入油溶性着色剂，同时不断搅拌，根据需要调整着色剂的比例，以获得更深或更浅的颜色。</w:t>
      </w:r>
    </w:p>
    <w:p w14:paraId="1AF8A867" w14:textId="77777777" w:rsidR="000E2999" w:rsidRPr="000E2999" w:rsidRDefault="000E2999" w:rsidP="000E2999">
      <w:pPr>
        <w:jc w:val="both"/>
        <w:rPr>
          <w:rFonts w:ascii="仿宋_GB2312" w:eastAsia="仿宋_GB2312" w:hint="eastAsia"/>
          <w:sz w:val="32"/>
          <w:szCs w:val="32"/>
        </w:rPr>
      </w:pPr>
      <w:r w:rsidRPr="000E2999">
        <w:rPr>
          <w:rFonts w:ascii="仿宋_GB2312" w:eastAsia="仿宋_GB2312" w:hint="eastAsia"/>
          <w:sz w:val="32"/>
          <w:szCs w:val="32"/>
        </w:rPr>
        <w:lastRenderedPageBreak/>
        <w:t>(3)测试颜色:在家具或木材表面的小区域测试调好的颜色，如果颜色太浅或太深，重复步骤2进行调整。</w:t>
      </w:r>
    </w:p>
    <w:p w14:paraId="506142DF" w14:textId="77777777" w:rsidR="000E2999" w:rsidRPr="000E2999" w:rsidRDefault="000E2999" w:rsidP="000E2999">
      <w:pPr>
        <w:jc w:val="both"/>
        <w:rPr>
          <w:rFonts w:ascii="仿宋_GB2312" w:eastAsia="仿宋_GB2312" w:hint="eastAsia"/>
          <w:sz w:val="32"/>
          <w:szCs w:val="32"/>
        </w:rPr>
      </w:pPr>
      <w:r w:rsidRPr="000E2999">
        <w:rPr>
          <w:rFonts w:ascii="仿宋_GB2312" w:eastAsia="仿宋_GB2312" w:hint="eastAsia"/>
          <w:sz w:val="32"/>
          <w:szCs w:val="32"/>
        </w:rPr>
        <w:t>(4)应用桐油:使用干净的刷子或布料均匀涂抹桐油，并确保覆盖所有区域。</w:t>
      </w:r>
    </w:p>
    <w:p w14:paraId="0E5E2DC7" w14:textId="3E4F3B7B" w:rsidR="00973483" w:rsidRPr="000E2999" w:rsidRDefault="000E2999" w:rsidP="000E2999">
      <w:pPr>
        <w:jc w:val="both"/>
        <w:rPr>
          <w:rFonts w:ascii="仿宋_GB2312" w:eastAsia="仿宋_GB2312" w:hint="eastAsia"/>
          <w:sz w:val="32"/>
          <w:szCs w:val="32"/>
        </w:rPr>
      </w:pPr>
      <w:r w:rsidRPr="000E2999">
        <w:rPr>
          <w:rFonts w:ascii="仿宋_GB2312" w:eastAsia="仿宋_GB2312" w:hint="eastAsia"/>
          <w:sz w:val="32"/>
          <w:szCs w:val="32"/>
        </w:rPr>
        <w:t>(5)干燥时间:让桐油完全干燥，这可能需要几个小时到几天的时间，具体取决于环境条件。在干燥过程中，避免触摸，以免留下指纹或划痕。</w:t>
      </w:r>
    </w:p>
    <w:sectPr w:rsidR="00973483" w:rsidRPr="000E29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9CA1" w14:textId="77777777" w:rsidR="00171AE7" w:rsidRDefault="00171AE7" w:rsidP="000E2999">
      <w:pPr>
        <w:spacing w:after="0" w:line="240" w:lineRule="auto"/>
        <w:rPr>
          <w:rFonts w:hint="eastAsia"/>
        </w:rPr>
      </w:pPr>
      <w:r>
        <w:separator/>
      </w:r>
    </w:p>
  </w:endnote>
  <w:endnote w:type="continuationSeparator" w:id="0">
    <w:p w14:paraId="59B750C2" w14:textId="77777777" w:rsidR="00171AE7" w:rsidRDefault="00171AE7" w:rsidP="000E299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4AB8" w14:textId="77777777" w:rsidR="00171AE7" w:rsidRDefault="00171AE7" w:rsidP="000E2999">
      <w:pPr>
        <w:spacing w:after="0" w:line="240" w:lineRule="auto"/>
        <w:rPr>
          <w:rFonts w:hint="eastAsia"/>
        </w:rPr>
      </w:pPr>
      <w:r>
        <w:separator/>
      </w:r>
    </w:p>
  </w:footnote>
  <w:footnote w:type="continuationSeparator" w:id="0">
    <w:p w14:paraId="07D7B74B" w14:textId="77777777" w:rsidR="00171AE7" w:rsidRDefault="00171AE7" w:rsidP="000E299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83"/>
    <w:rsid w:val="000E2999"/>
    <w:rsid w:val="00171AE7"/>
    <w:rsid w:val="002F4E3D"/>
    <w:rsid w:val="002F6FDC"/>
    <w:rsid w:val="004A4880"/>
    <w:rsid w:val="00893C82"/>
    <w:rsid w:val="00973483"/>
    <w:rsid w:val="00AE58FB"/>
    <w:rsid w:val="00BA2425"/>
    <w:rsid w:val="00CC3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8F5DA"/>
  <w15:chartTrackingRefBased/>
  <w15:docId w15:val="{E08D1595-E674-4763-A9E5-EE65CB86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4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4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4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4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4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4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4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4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4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4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4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4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483"/>
    <w:rPr>
      <w:rFonts w:cstheme="majorBidi"/>
      <w:color w:val="2F5496" w:themeColor="accent1" w:themeShade="BF"/>
      <w:sz w:val="28"/>
      <w:szCs w:val="28"/>
    </w:rPr>
  </w:style>
  <w:style w:type="character" w:customStyle="1" w:styleId="50">
    <w:name w:val="标题 5 字符"/>
    <w:basedOn w:val="a0"/>
    <w:link w:val="5"/>
    <w:uiPriority w:val="9"/>
    <w:semiHidden/>
    <w:rsid w:val="00973483"/>
    <w:rPr>
      <w:rFonts w:cstheme="majorBidi"/>
      <w:color w:val="2F5496" w:themeColor="accent1" w:themeShade="BF"/>
      <w:sz w:val="24"/>
    </w:rPr>
  </w:style>
  <w:style w:type="character" w:customStyle="1" w:styleId="60">
    <w:name w:val="标题 6 字符"/>
    <w:basedOn w:val="a0"/>
    <w:link w:val="6"/>
    <w:uiPriority w:val="9"/>
    <w:semiHidden/>
    <w:rsid w:val="00973483"/>
    <w:rPr>
      <w:rFonts w:cstheme="majorBidi"/>
      <w:b/>
      <w:bCs/>
      <w:color w:val="2F5496" w:themeColor="accent1" w:themeShade="BF"/>
    </w:rPr>
  </w:style>
  <w:style w:type="character" w:customStyle="1" w:styleId="70">
    <w:name w:val="标题 7 字符"/>
    <w:basedOn w:val="a0"/>
    <w:link w:val="7"/>
    <w:uiPriority w:val="9"/>
    <w:semiHidden/>
    <w:rsid w:val="00973483"/>
    <w:rPr>
      <w:rFonts w:cstheme="majorBidi"/>
      <w:b/>
      <w:bCs/>
      <w:color w:val="595959" w:themeColor="text1" w:themeTint="A6"/>
    </w:rPr>
  </w:style>
  <w:style w:type="character" w:customStyle="1" w:styleId="80">
    <w:name w:val="标题 8 字符"/>
    <w:basedOn w:val="a0"/>
    <w:link w:val="8"/>
    <w:uiPriority w:val="9"/>
    <w:semiHidden/>
    <w:rsid w:val="00973483"/>
    <w:rPr>
      <w:rFonts w:cstheme="majorBidi"/>
      <w:color w:val="595959" w:themeColor="text1" w:themeTint="A6"/>
    </w:rPr>
  </w:style>
  <w:style w:type="character" w:customStyle="1" w:styleId="90">
    <w:name w:val="标题 9 字符"/>
    <w:basedOn w:val="a0"/>
    <w:link w:val="9"/>
    <w:uiPriority w:val="9"/>
    <w:semiHidden/>
    <w:rsid w:val="00973483"/>
    <w:rPr>
      <w:rFonts w:eastAsiaTheme="majorEastAsia" w:cstheme="majorBidi"/>
      <w:color w:val="595959" w:themeColor="text1" w:themeTint="A6"/>
    </w:rPr>
  </w:style>
  <w:style w:type="paragraph" w:styleId="a3">
    <w:name w:val="Title"/>
    <w:basedOn w:val="a"/>
    <w:next w:val="a"/>
    <w:link w:val="a4"/>
    <w:uiPriority w:val="10"/>
    <w:qFormat/>
    <w:rsid w:val="009734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4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4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4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483"/>
    <w:pPr>
      <w:spacing w:before="160"/>
      <w:jc w:val="center"/>
    </w:pPr>
    <w:rPr>
      <w:i/>
      <w:iCs/>
      <w:color w:val="404040" w:themeColor="text1" w:themeTint="BF"/>
    </w:rPr>
  </w:style>
  <w:style w:type="character" w:customStyle="1" w:styleId="a8">
    <w:name w:val="引用 字符"/>
    <w:basedOn w:val="a0"/>
    <w:link w:val="a7"/>
    <w:uiPriority w:val="29"/>
    <w:rsid w:val="00973483"/>
    <w:rPr>
      <w:i/>
      <w:iCs/>
      <w:color w:val="404040" w:themeColor="text1" w:themeTint="BF"/>
    </w:rPr>
  </w:style>
  <w:style w:type="paragraph" w:styleId="a9">
    <w:name w:val="List Paragraph"/>
    <w:basedOn w:val="a"/>
    <w:uiPriority w:val="34"/>
    <w:qFormat/>
    <w:rsid w:val="00973483"/>
    <w:pPr>
      <w:ind w:left="720"/>
      <w:contextualSpacing/>
    </w:pPr>
  </w:style>
  <w:style w:type="character" w:styleId="aa">
    <w:name w:val="Intense Emphasis"/>
    <w:basedOn w:val="a0"/>
    <w:uiPriority w:val="21"/>
    <w:qFormat/>
    <w:rsid w:val="00973483"/>
    <w:rPr>
      <w:i/>
      <w:iCs/>
      <w:color w:val="2F5496" w:themeColor="accent1" w:themeShade="BF"/>
    </w:rPr>
  </w:style>
  <w:style w:type="paragraph" w:styleId="ab">
    <w:name w:val="Intense Quote"/>
    <w:basedOn w:val="a"/>
    <w:next w:val="a"/>
    <w:link w:val="ac"/>
    <w:uiPriority w:val="30"/>
    <w:qFormat/>
    <w:rsid w:val="009734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483"/>
    <w:rPr>
      <w:i/>
      <w:iCs/>
      <w:color w:val="2F5496" w:themeColor="accent1" w:themeShade="BF"/>
    </w:rPr>
  </w:style>
  <w:style w:type="character" w:styleId="ad">
    <w:name w:val="Intense Reference"/>
    <w:basedOn w:val="a0"/>
    <w:uiPriority w:val="32"/>
    <w:qFormat/>
    <w:rsid w:val="00973483"/>
    <w:rPr>
      <w:b/>
      <w:bCs/>
      <w:smallCaps/>
      <w:color w:val="2F5496" w:themeColor="accent1" w:themeShade="BF"/>
      <w:spacing w:val="5"/>
    </w:rPr>
  </w:style>
  <w:style w:type="paragraph" w:styleId="ae">
    <w:name w:val="header"/>
    <w:basedOn w:val="a"/>
    <w:link w:val="af"/>
    <w:uiPriority w:val="99"/>
    <w:unhideWhenUsed/>
    <w:rsid w:val="000E299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E2999"/>
    <w:rPr>
      <w:sz w:val="18"/>
      <w:szCs w:val="18"/>
    </w:rPr>
  </w:style>
  <w:style w:type="paragraph" w:styleId="af0">
    <w:name w:val="footer"/>
    <w:basedOn w:val="a"/>
    <w:link w:val="af1"/>
    <w:uiPriority w:val="99"/>
    <w:unhideWhenUsed/>
    <w:rsid w:val="000E299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E29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1212</Words>
  <Characters>1238</Characters>
  <Application>Microsoft Office Word</Application>
  <DocSecurity>0</DocSecurity>
  <Lines>56</Lines>
  <Paragraphs>34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lu</dc:creator>
  <cp:keywords/>
  <dc:description/>
  <cp:lastModifiedBy>ms lu</cp:lastModifiedBy>
  <cp:revision>4</cp:revision>
  <dcterms:created xsi:type="dcterms:W3CDTF">2025-07-30T09:47:00Z</dcterms:created>
  <dcterms:modified xsi:type="dcterms:W3CDTF">2025-07-31T02:19:00Z</dcterms:modified>
</cp:coreProperties>
</file>